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950"/>
        <w:gridCol w:w="5040"/>
      </w:tblGrid>
      <w:tr w:rsidR="000E33EE" w:rsidRPr="00A813BD" w:rsidTr="000E33EE">
        <w:trPr>
          <w:trHeight w:val="323"/>
        </w:trPr>
        <w:tc>
          <w:tcPr>
            <w:tcW w:w="2808" w:type="dxa"/>
            <w:hideMark/>
          </w:tcPr>
          <w:p w:rsidR="000E33EE" w:rsidRPr="005D3626" w:rsidRDefault="000E33EE">
            <w:pPr>
              <w:rPr>
                <w:b/>
              </w:rPr>
            </w:pPr>
            <w:r w:rsidRPr="005D3626">
              <w:rPr>
                <w:b/>
              </w:rPr>
              <w:t xml:space="preserve">Custodial parent/guardian                                                                          </w:t>
            </w:r>
          </w:p>
        </w:tc>
        <w:tc>
          <w:tcPr>
            <w:tcW w:w="4950" w:type="dxa"/>
            <w:hideMark/>
          </w:tcPr>
          <w:p w:rsidR="000E33EE" w:rsidRDefault="000E33EE">
            <w:r w:rsidRPr="00A813BD">
              <w:t xml:space="preserve">The amount &amp; date of a federal income tax refund offset, </w:t>
            </w:r>
            <w:r w:rsidR="003A2EB4" w:rsidRPr="00A813BD">
              <w:t xml:space="preserve">including </w:t>
            </w:r>
            <w:r w:rsidR="003A2EB4">
              <w:t>the</w:t>
            </w:r>
            <w:r w:rsidRPr="00A813BD">
              <w:t xml:space="preserve"> source of the </w:t>
            </w:r>
            <w:r w:rsidR="003A2EB4" w:rsidRPr="00A813BD">
              <w:t>payment</w:t>
            </w:r>
            <w:r w:rsidR="003A2EB4">
              <w:t xml:space="preserve"> and</w:t>
            </w:r>
            <w:r w:rsidR="0095183B">
              <w:t xml:space="preserve"> that the payment can be held for up to six months.</w:t>
            </w:r>
            <w:r w:rsidRPr="00A813BD">
              <w:br/>
            </w:r>
          </w:p>
          <w:p w:rsidR="000E33EE" w:rsidRPr="00ED6C9D" w:rsidRDefault="000E33EE" w:rsidP="00DD63DD">
            <w:pPr>
              <w:rPr>
                <w:color w:val="0070C0"/>
              </w:rPr>
            </w:pPr>
            <w:r w:rsidRPr="00A813BD">
              <w:br/>
            </w:r>
          </w:p>
        </w:tc>
        <w:tc>
          <w:tcPr>
            <w:tcW w:w="5040" w:type="dxa"/>
            <w:hideMark/>
          </w:tcPr>
          <w:p w:rsidR="000E33EE" w:rsidRDefault="000E33EE" w:rsidP="00DD63DD">
            <w:r w:rsidRPr="00A813BD">
              <w:t>Disclosure of the payment information may be made to the custodial parent/guardian (CP) after the payment is received by the agency.  The CP may be told about payments received but held</w:t>
            </w:r>
            <w:r w:rsidR="0095183B">
              <w:t>;</w:t>
            </w:r>
            <w:r w:rsidRPr="00A813BD">
              <w:t xml:space="preserve"> </w:t>
            </w:r>
            <w:r w:rsidR="0095183B">
              <w:t>however,</w:t>
            </w:r>
            <w:r w:rsidRPr="00A813BD">
              <w:t xml:space="preserve"> the reason for the hold may not be disclosed.  The CP may be told the disbursement of the offset is being delayed because it may be subject to adjustment.    </w:t>
            </w:r>
            <w:r w:rsidRPr="00A813BD">
              <w:br/>
            </w:r>
          </w:p>
          <w:p w:rsidR="000E33EE" w:rsidRPr="00DD63DD" w:rsidRDefault="000E33EE" w:rsidP="00DD63DD">
            <w:r>
              <w:t xml:space="preserve">  </w:t>
            </w:r>
            <w:r w:rsidRPr="00A813BD">
              <w:br/>
              <w:t>Note: The CP may not have access to noncustodial parent (NCP) address provided by the IRS, wage data, or any other FTI of the NCP.</w:t>
            </w:r>
            <w:r w:rsidRPr="00A813BD">
              <w:br/>
            </w:r>
          </w:p>
        </w:tc>
      </w:tr>
      <w:tr w:rsidR="000E33EE" w:rsidRPr="00A813BD" w:rsidTr="00727F86">
        <w:trPr>
          <w:trHeight w:val="2582"/>
        </w:trPr>
        <w:tc>
          <w:tcPr>
            <w:tcW w:w="2808" w:type="dxa"/>
            <w:hideMark/>
          </w:tcPr>
          <w:p w:rsidR="000E33EE" w:rsidRPr="005D3626" w:rsidRDefault="000E33EE">
            <w:pPr>
              <w:rPr>
                <w:b/>
              </w:rPr>
            </w:pPr>
            <w:r w:rsidRPr="005D3626">
              <w:rPr>
                <w:b/>
              </w:rPr>
              <w:t>Another state’s child support agency in interstate IV-D child support cases</w:t>
            </w:r>
          </w:p>
        </w:tc>
        <w:tc>
          <w:tcPr>
            <w:tcW w:w="4950" w:type="dxa"/>
            <w:hideMark/>
          </w:tcPr>
          <w:p w:rsidR="000E33EE" w:rsidRPr="00F44FFD" w:rsidRDefault="000E33EE" w:rsidP="00DD63DD">
            <w:pPr>
              <w:rPr>
                <w:color w:val="0070C0"/>
              </w:rPr>
            </w:pPr>
            <w:r w:rsidRPr="00A813BD">
              <w:t xml:space="preserve">On a case by case basis, FTI in the case record. </w:t>
            </w:r>
            <w:r w:rsidRPr="00A813BD">
              <w:br/>
            </w:r>
          </w:p>
          <w:p w:rsidR="000E33EE" w:rsidRPr="00F44FFD" w:rsidRDefault="000E33EE" w:rsidP="00DD63DD">
            <w:pPr>
              <w:rPr>
                <w:color w:val="0070C0"/>
              </w:rPr>
            </w:pPr>
          </w:p>
        </w:tc>
        <w:tc>
          <w:tcPr>
            <w:tcW w:w="5040" w:type="dxa"/>
            <w:hideMark/>
          </w:tcPr>
          <w:p w:rsidR="000E33EE" w:rsidRDefault="000E33EE">
            <w:r w:rsidRPr="00A813BD">
              <w:t xml:space="preserve">Disclosure must be only to accurately record and administer offset collections and distributions in IV-D cases between/among states that have a shared interest, on a case by case basis.  </w:t>
            </w:r>
          </w:p>
          <w:p w:rsidR="0095183B" w:rsidRDefault="0095183B"/>
          <w:p w:rsidR="0095183B" w:rsidRPr="00727F86" w:rsidRDefault="0095183B">
            <w:r>
              <w:t>Application sharing between states, excluding OCSE’s QUICK and CSENet systems, must be approved by IRS Office of Safeguards.</w:t>
            </w:r>
          </w:p>
        </w:tc>
      </w:tr>
      <w:tr w:rsidR="000E33EE" w:rsidRPr="00A813BD" w:rsidTr="00727F86">
        <w:trPr>
          <w:trHeight w:val="4742"/>
        </w:trPr>
        <w:tc>
          <w:tcPr>
            <w:tcW w:w="2808" w:type="dxa"/>
            <w:hideMark/>
          </w:tcPr>
          <w:p w:rsidR="000E33EE" w:rsidRPr="005D3626" w:rsidRDefault="000E33EE">
            <w:pPr>
              <w:rPr>
                <w:b/>
              </w:rPr>
            </w:pPr>
            <w:r w:rsidRPr="005D3626">
              <w:rPr>
                <w:b/>
              </w:rPr>
              <w:t>Judges &amp; Officers and Clerks of the Court (acting as officers of the court in a court proceeding)</w:t>
            </w:r>
          </w:p>
        </w:tc>
        <w:tc>
          <w:tcPr>
            <w:tcW w:w="4950" w:type="dxa"/>
            <w:hideMark/>
          </w:tcPr>
          <w:p w:rsidR="000E33EE" w:rsidRPr="00F647E9" w:rsidRDefault="000E33EE" w:rsidP="00DD63DD">
            <w:pPr>
              <w:rPr>
                <w:color w:val="0070C0"/>
              </w:rPr>
            </w:pPr>
            <w:r w:rsidRPr="00A813BD">
              <w:t>None.</w:t>
            </w:r>
            <w:r w:rsidRPr="00A813BD">
              <w:br/>
            </w:r>
          </w:p>
          <w:p w:rsidR="000E33EE" w:rsidRPr="00A813BD" w:rsidRDefault="000E33EE" w:rsidP="009A1CBE"/>
        </w:tc>
        <w:tc>
          <w:tcPr>
            <w:tcW w:w="5040" w:type="dxa"/>
            <w:hideMark/>
          </w:tcPr>
          <w:p w:rsidR="00D7284D" w:rsidRDefault="000E33EE">
            <w:r w:rsidRPr="00A813BD">
              <w:t>As a matter of federal law, FTI may not be disclosed</w:t>
            </w:r>
            <w:r w:rsidR="003A2EB4">
              <w:t xml:space="preserve"> </w:t>
            </w:r>
            <w:r w:rsidRPr="00A813BD">
              <w:t>in state court proceedings.</w:t>
            </w:r>
            <w:r>
              <w:t xml:space="preserve">  </w:t>
            </w:r>
            <w:r w:rsidRPr="00A813BD">
              <w:t xml:space="preserve">FTO payment amounts may be disclosed in court proceedings provided that all payment sources are </w:t>
            </w:r>
            <w:r w:rsidR="00F27E77">
              <w:t xml:space="preserve"> not disclosed orally or in writing </w:t>
            </w:r>
            <w:r w:rsidRPr="00A813BD">
              <w:t xml:space="preserve">from child support payment records to prevent unauthorized disclosure of FTI.  </w:t>
            </w:r>
            <w:r w:rsidR="00D7284D">
              <w:t>P</w:t>
            </w:r>
            <w:r w:rsidRPr="00A813BD">
              <w:t xml:space="preserve">ayment amounts may be </w:t>
            </w:r>
            <w:r w:rsidR="003A2EB4">
              <w:t>described</w:t>
            </w:r>
            <w:r w:rsidRPr="00A813BD">
              <w:t xml:space="preserve"> as voluntary or involuntary, or administrative/non-administrative</w:t>
            </w:r>
            <w:r w:rsidR="00D7284D">
              <w:t>, or any other designation that states choose to use</w:t>
            </w:r>
            <w:r w:rsidRPr="00A813BD">
              <w:t>.</w:t>
            </w:r>
            <w:r w:rsidR="00D7284D">
              <w:t xml:space="preserve">  States may not use more than two designations for payment amounts.</w:t>
            </w:r>
          </w:p>
          <w:p w:rsidR="00D7284D" w:rsidRDefault="00D7284D"/>
          <w:p w:rsidR="00D7284D" w:rsidRDefault="00D7284D">
            <w:r>
              <w:t>Note:</w:t>
            </w:r>
          </w:p>
          <w:p w:rsidR="000E33EE" w:rsidRPr="00F647E9" w:rsidRDefault="00D7284D" w:rsidP="009A1CBE">
            <w:pPr>
              <w:rPr>
                <w:color w:val="0070C0"/>
              </w:rPr>
            </w:pPr>
            <w:r>
              <w:t>FTI may be disclosed ‘in the defense of any litigation or administrative procedure [that arises from an offset] ensuing from a reduction made under subsection (c), (d), (e), or (f) of… [26 USC 6402]</w:t>
            </w:r>
            <w:r w:rsidR="00727F86">
              <w:t>’</w:t>
            </w:r>
            <w:r>
              <w:t>.</w:t>
            </w:r>
            <w:r w:rsidR="000E33EE" w:rsidRPr="00A813BD">
              <w:t xml:space="preserve"> </w:t>
            </w:r>
          </w:p>
        </w:tc>
      </w:tr>
      <w:tr w:rsidR="000E33EE" w:rsidRPr="00A813BD" w:rsidTr="00727F86">
        <w:trPr>
          <w:trHeight w:val="2690"/>
        </w:trPr>
        <w:tc>
          <w:tcPr>
            <w:tcW w:w="2808" w:type="dxa"/>
            <w:hideMark/>
          </w:tcPr>
          <w:p w:rsidR="000E33EE" w:rsidRPr="005D3626" w:rsidRDefault="000E33EE">
            <w:pPr>
              <w:rPr>
                <w:b/>
              </w:rPr>
            </w:pPr>
            <w:r w:rsidRPr="005D3626">
              <w:rPr>
                <w:b/>
              </w:rPr>
              <w:t>Federal Child Support Program Auditors</w:t>
            </w:r>
          </w:p>
        </w:tc>
        <w:tc>
          <w:tcPr>
            <w:tcW w:w="4950" w:type="dxa"/>
            <w:hideMark/>
          </w:tcPr>
          <w:p w:rsidR="000E33EE" w:rsidRPr="00F647E9" w:rsidRDefault="000E33EE" w:rsidP="00DD63DD">
            <w:pPr>
              <w:rPr>
                <w:color w:val="0070C0"/>
              </w:rPr>
            </w:pPr>
            <w:r w:rsidRPr="00A813BD">
              <w:t>All FTI.</w:t>
            </w:r>
            <w:r w:rsidRPr="00A813BD">
              <w:br/>
            </w:r>
          </w:p>
          <w:p w:rsidR="000E33EE" w:rsidRPr="00F647E9" w:rsidRDefault="000E33EE">
            <w:pPr>
              <w:rPr>
                <w:color w:val="0070C0"/>
              </w:rPr>
            </w:pPr>
          </w:p>
        </w:tc>
        <w:tc>
          <w:tcPr>
            <w:tcW w:w="5040" w:type="dxa"/>
            <w:hideMark/>
          </w:tcPr>
          <w:p w:rsidR="000E33EE" w:rsidRDefault="000E33EE">
            <w:pPr>
              <w:rPr>
                <w:b/>
                <w:bCs/>
              </w:rPr>
            </w:pPr>
            <w:r w:rsidRPr="00A813BD">
              <w:t>None.</w:t>
            </w:r>
            <w:r w:rsidRPr="00A813BD">
              <w:br/>
            </w:r>
          </w:p>
          <w:p w:rsidR="000E33EE" w:rsidRPr="00A813BD" w:rsidRDefault="000E33EE"/>
        </w:tc>
      </w:tr>
      <w:tr w:rsidR="000E33EE" w:rsidRPr="00A813BD" w:rsidTr="00727F86">
        <w:trPr>
          <w:trHeight w:val="1592"/>
        </w:trPr>
        <w:tc>
          <w:tcPr>
            <w:tcW w:w="2808" w:type="dxa"/>
            <w:hideMark/>
          </w:tcPr>
          <w:p w:rsidR="000E33EE" w:rsidRPr="005D3626" w:rsidRDefault="000E33EE">
            <w:pPr>
              <w:rPr>
                <w:b/>
              </w:rPr>
            </w:pPr>
            <w:r w:rsidRPr="005D3626">
              <w:rPr>
                <w:b/>
              </w:rPr>
              <w:t>Noncustodial parent</w:t>
            </w:r>
          </w:p>
        </w:tc>
        <w:tc>
          <w:tcPr>
            <w:tcW w:w="4950" w:type="dxa"/>
            <w:hideMark/>
          </w:tcPr>
          <w:p w:rsidR="000E33EE" w:rsidRPr="00E149C9" w:rsidRDefault="000E33EE" w:rsidP="00A43C11">
            <w:pPr>
              <w:rPr>
                <w:color w:val="0070C0"/>
              </w:rPr>
            </w:pPr>
            <w:r w:rsidRPr="00A813BD">
              <w:t xml:space="preserve">Any FTI of the NCP.  </w:t>
            </w:r>
            <w:r w:rsidRPr="00A813BD">
              <w:br/>
            </w:r>
          </w:p>
          <w:p w:rsidR="000E33EE" w:rsidRPr="00E149C9" w:rsidRDefault="000E33EE" w:rsidP="00852DEC">
            <w:pPr>
              <w:rPr>
                <w:color w:val="0070C0"/>
              </w:rPr>
            </w:pPr>
          </w:p>
        </w:tc>
        <w:tc>
          <w:tcPr>
            <w:tcW w:w="5040" w:type="dxa"/>
            <w:hideMark/>
          </w:tcPr>
          <w:p w:rsidR="000E33EE" w:rsidRPr="00E149C9" w:rsidRDefault="000E33EE" w:rsidP="003A2EB4">
            <w:pPr>
              <w:rPr>
                <w:color w:val="0070C0"/>
              </w:rPr>
            </w:pPr>
            <w:r w:rsidRPr="00A813BD">
              <w:t xml:space="preserve">The NCP has the right of access to FTI maintained about him/her in the child support agency’s files.  </w:t>
            </w:r>
            <w:r w:rsidRPr="00A813BD">
              <w:br/>
            </w:r>
          </w:p>
        </w:tc>
      </w:tr>
    </w:tbl>
    <w:p w:rsidR="008C49C9" w:rsidRDefault="008C49C9" w:rsidP="00084D61"/>
    <w:p w:rsidR="00007122" w:rsidRDefault="00007122" w:rsidP="00084D61"/>
    <w:sectPr w:rsidR="00007122" w:rsidSect="006759B5">
      <w:headerReference w:type="default" r:id="rId8"/>
      <w:footerReference w:type="default" r:id="rId9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D77" w:rsidRDefault="002C3D77" w:rsidP="004D66BE">
      <w:pPr>
        <w:spacing w:after="0" w:line="240" w:lineRule="auto"/>
      </w:pPr>
      <w:r>
        <w:separator/>
      </w:r>
    </w:p>
  </w:endnote>
  <w:endnote w:type="continuationSeparator" w:id="0">
    <w:p w:rsidR="002C3D77" w:rsidRDefault="002C3D77" w:rsidP="004D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3DD" w:rsidRDefault="00DD63DD">
    <w:pPr>
      <w:pStyle w:val="Footer"/>
    </w:pPr>
  </w:p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5929"/>
      <w:gridCol w:w="1318"/>
      <w:gridCol w:w="5929"/>
    </w:tblGrid>
    <w:tr w:rsidR="00DD63DD" w:rsidRPr="00BB0C74" w:rsidTr="004D6E4E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DD63DD" w:rsidRPr="00BB0C74" w:rsidRDefault="00E96C2E" w:rsidP="00E433FF">
          <w:pPr>
            <w:pStyle w:val="Header"/>
            <w:rPr>
              <w:rFonts w:eastAsiaTheme="majorEastAsia" w:cstheme="majorBidi"/>
              <w:b/>
              <w:bCs/>
            </w:rPr>
          </w:pPr>
          <w:r>
            <w:rPr>
              <w:rFonts w:eastAsiaTheme="majorEastAsia" w:cstheme="majorBidi"/>
              <w:b/>
              <w:bCs/>
            </w:rPr>
            <w:t>March 10</w:t>
          </w:r>
          <w:r w:rsidR="000E33EE">
            <w:rPr>
              <w:rFonts w:eastAsiaTheme="majorEastAsia" w:cstheme="majorBidi"/>
              <w:b/>
              <w:bCs/>
            </w:rPr>
            <w:t>, 2014</w:t>
          </w:r>
        </w:p>
      </w:tc>
      <w:tc>
        <w:tcPr>
          <w:tcW w:w="500" w:type="pct"/>
          <w:vMerge w:val="restart"/>
          <w:noWrap/>
          <w:vAlign w:val="center"/>
        </w:tcPr>
        <w:p w:rsidR="00DD63DD" w:rsidRPr="00BB0C74" w:rsidRDefault="00DD63DD" w:rsidP="00DD63DD">
          <w:pPr>
            <w:pStyle w:val="NoSpacing"/>
            <w:jc w:val="center"/>
          </w:pPr>
          <w:r w:rsidRPr="00BB0C74">
            <w:rPr>
              <w:b/>
            </w:rPr>
            <w:t xml:space="preserve">Page </w:t>
          </w:r>
          <w:r w:rsidR="00A94C89">
            <w:fldChar w:fldCharType="begin"/>
          </w:r>
          <w:r w:rsidR="000D3364">
            <w:instrText xml:space="preserve"> PAGE  \* MERGEFORMAT </w:instrText>
          </w:r>
          <w:r w:rsidR="00A94C89">
            <w:fldChar w:fldCharType="separate"/>
          </w:r>
          <w:r w:rsidR="00D93E53" w:rsidRPr="00D93E53">
            <w:rPr>
              <w:b/>
              <w:noProof/>
            </w:rPr>
            <w:t>1</w:t>
          </w:r>
          <w:r w:rsidR="00A94C89">
            <w:rPr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DD63DD" w:rsidRPr="00BB0C74" w:rsidRDefault="00A43C11" w:rsidP="004D6E4E">
          <w:pPr>
            <w:pStyle w:val="Header"/>
            <w:jc w:val="right"/>
            <w:rPr>
              <w:rFonts w:eastAsiaTheme="majorEastAsia" w:cstheme="majorBidi"/>
              <w:b/>
              <w:bCs/>
            </w:rPr>
          </w:pPr>
          <w:r>
            <w:rPr>
              <w:rFonts w:eastAsiaTheme="majorEastAsia" w:cstheme="majorBidi"/>
              <w:b/>
              <w:bCs/>
            </w:rPr>
            <w:t>For Official Use Only</w:t>
          </w:r>
        </w:p>
      </w:tc>
    </w:tr>
    <w:tr w:rsidR="00DD63DD" w:rsidTr="004D6E4E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DD63DD" w:rsidRDefault="00DD63DD" w:rsidP="004D6E4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DD63DD" w:rsidRDefault="00DD63DD" w:rsidP="004D6E4E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DD63DD" w:rsidRDefault="00DD63DD" w:rsidP="004D6E4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DD63DD" w:rsidRDefault="00DD63DD" w:rsidP="00DD63DD">
    <w:pPr>
      <w:pStyle w:val="Footer"/>
    </w:pPr>
  </w:p>
  <w:p w:rsidR="00DD63DD" w:rsidRDefault="00DD63DD">
    <w:pPr>
      <w:pStyle w:val="Footer"/>
    </w:pPr>
  </w:p>
  <w:p w:rsidR="00DD63DD" w:rsidRDefault="00DD63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D77" w:rsidRDefault="002C3D77" w:rsidP="004D66BE">
      <w:pPr>
        <w:spacing w:after="0" w:line="240" w:lineRule="auto"/>
      </w:pPr>
      <w:r>
        <w:separator/>
      </w:r>
    </w:p>
  </w:footnote>
  <w:footnote w:type="continuationSeparator" w:id="0">
    <w:p w:rsidR="002C3D77" w:rsidRDefault="002C3D77" w:rsidP="004D6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6BE" w:rsidRPr="004D66BE" w:rsidRDefault="004D66BE" w:rsidP="00DD63DD">
    <w:pPr>
      <w:spacing w:after="0"/>
      <w:jc w:val="center"/>
      <w:rPr>
        <w:b/>
        <w:sz w:val="24"/>
        <w:szCs w:val="24"/>
      </w:rPr>
    </w:pPr>
    <w:r w:rsidRPr="004D66BE">
      <w:rPr>
        <w:b/>
        <w:sz w:val="24"/>
        <w:szCs w:val="24"/>
      </w:rPr>
      <w:t>IRS Disclosure Matrix</w:t>
    </w:r>
    <w:r w:rsidR="000E33EE">
      <w:rPr>
        <w:b/>
        <w:sz w:val="24"/>
        <w:szCs w:val="24"/>
      </w:rPr>
      <w:t xml:space="preserve"> – Settled Areas</w:t>
    </w:r>
  </w:p>
  <w:p w:rsidR="00DD63DD" w:rsidRPr="004D66BE" w:rsidRDefault="004D66BE" w:rsidP="000E33EE">
    <w:pPr>
      <w:spacing w:after="0"/>
      <w:jc w:val="center"/>
      <w:rPr>
        <w:b/>
        <w:sz w:val="24"/>
        <w:szCs w:val="24"/>
      </w:rPr>
    </w:pPr>
    <w:r w:rsidRPr="004D66BE">
      <w:rPr>
        <w:b/>
        <w:sz w:val="24"/>
        <w:szCs w:val="24"/>
      </w:rPr>
      <w:t>Use of Federal Tax Information (FTI) for Child Support Enforcement Purposes</w:t>
    </w:r>
  </w:p>
  <w:tbl>
    <w:tblPr>
      <w:tblW w:w="12780" w:type="dxa"/>
      <w:tblInd w:w="18" w:type="dxa"/>
      <w:tblLook w:val="04A0" w:firstRow="1" w:lastRow="0" w:firstColumn="1" w:lastColumn="0" w:noHBand="0" w:noVBand="1"/>
    </w:tblPr>
    <w:tblGrid>
      <w:gridCol w:w="2790"/>
      <w:gridCol w:w="4950"/>
      <w:gridCol w:w="5040"/>
    </w:tblGrid>
    <w:tr w:rsidR="000E33EE" w:rsidRPr="004D66BE" w:rsidTr="000E33EE">
      <w:trPr>
        <w:trHeight w:val="315"/>
      </w:trPr>
      <w:tc>
        <w:tcPr>
          <w:tcW w:w="279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hideMark/>
        </w:tcPr>
        <w:p w:rsidR="000E33EE" w:rsidRPr="004D66BE" w:rsidRDefault="000E33EE" w:rsidP="004D66B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  <w:bookmarkStart w:id="0" w:name="RANGE!A1"/>
          <w:r w:rsidRPr="004D66BE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 xml:space="preserve">Disclosures to: </w:t>
          </w:r>
          <w:bookmarkEnd w:id="0"/>
        </w:p>
      </w:tc>
      <w:tc>
        <w:tcPr>
          <w:tcW w:w="495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hideMark/>
        </w:tcPr>
        <w:p w:rsidR="000E33EE" w:rsidRPr="004D66BE" w:rsidRDefault="000E33EE" w:rsidP="004D66B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  <w:r w:rsidRPr="004D66BE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FTI authorized to disclose</w:t>
          </w:r>
        </w:p>
      </w:tc>
      <w:tc>
        <w:tcPr>
          <w:tcW w:w="504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hideMark/>
        </w:tcPr>
        <w:p w:rsidR="000E33EE" w:rsidRPr="004D66BE" w:rsidRDefault="000E33EE" w:rsidP="004D66B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  <w:r w:rsidRPr="004D66BE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Limitations and Conditions</w:t>
          </w:r>
        </w:p>
      </w:tc>
    </w:tr>
  </w:tbl>
  <w:p w:rsidR="004D66BE" w:rsidRPr="004D66BE" w:rsidRDefault="004D66BE" w:rsidP="004D66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BD"/>
    <w:rsid w:val="00007122"/>
    <w:rsid w:val="00084D61"/>
    <w:rsid w:val="000C024D"/>
    <w:rsid w:val="000D3364"/>
    <w:rsid w:val="000E33EE"/>
    <w:rsid w:val="00111745"/>
    <w:rsid w:val="00113C63"/>
    <w:rsid w:val="00155E90"/>
    <w:rsid w:val="001A5D2F"/>
    <w:rsid w:val="001C7CA2"/>
    <w:rsid w:val="00246779"/>
    <w:rsid w:val="00252232"/>
    <w:rsid w:val="00254560"/>
    <w:rsid w:val="002B6BB1"/>
    <w:rsid w:val="002C3D77"/>
    <w:rsid w:val="00341088"/>
    <w:rsid w:val="00356F36"/>
    <w:rsid w:val="00392850"/>
    <w:rsid w:val="003A2EB4"/>
    <w:rsid w:val="003D6DD1"/>
    <w:rsid w:val="00446268"/>
    <w:rsid w:val="0045663A"/>
    <w:rsid w:val="004701E1"/>
    <w:rsid w:val="00471A2C"/>
    <w:rsid w:val="0047212A"/>
    <w:rsid w:val="004948DB"/>
    <w:rsid w:val="004D23C7"/>
    <w:rsid w:val="004D66BE"/>
    <w:rsid w:val="004D7A75"/>
    <w:rsid w:val="005B7C62"/>
    <w:rsid w:val="005C4EDB"/>
    <w:rsid w:val="005D3626"/>
    <w:rsid w:val="0063063B"/>
    <w:rsid w:val="00663F61"/>
    <w:rsid w:val="006759B5"/>
    <w:rsid w:val="006913E8"/>
    <w:rsid w:val="00692814"/>
    <w:rsid w:val="006E650A"/>
    <w:rsid w:val="00727F86"/>
    <w:rsid w:val="0073126F"/>
    <w:rsid w:val="00744ECE"/>
    <w:rsid w:val="00776D81"/>
    <w:rsid w:val="00845FA7"/>
    <w:rsid w:val="0085071E"/>
    <w:rsid w:val="00852DEC"/>
    <w:rsid w:val="00862FE7"/>
    <w:rsid w:val="008C49C9"/>
    <w:rsid w:val="008D11FF"/>
    <w:rsid w:val="008F2CE8"/>
    <w:rsid w:val="00907614"/>
    <w:rsid w:val="00910C32"/>
    <w:rsid w:val="0094383D"/>
    <w:rsid w:val="0095183B"/>
    <w:rsid w:val="00976C24"/>
    <w:rsid w:val="0097702B"/>
    <w:rsid w:val="009A1CBE"/>
    <w:rsid w:val="00A12BA8"/>
    <w:rsid w:val="00A43C11"/>
    <w:rsid w:val="00A5584C"/>
    <w:rsid w:val="00A813BD"/>
    <w:rsid w:val="00A81B12"/>
    <w:rsid w:val="00A94C89"/>
    <w:rsid w:val="00C20ACD"/>
    <w:rsid w:val="00C503AB"/>
    <w:rsid w:val="00C826F2"/>
    <w:rsid w:val="00CA1339"/>
    <w:rsid w:val="00CE028F"/>
    <w:rsid w:val="00D7284D"/>
    <w:rsid w:val="00D93E53"/>
    <w:rsid w:val="00DC7E34"/>
    <w:rsid w:val="00DD63DD"/>
    <w:rsid w:val="00DE69F9"/>
    <w:rsid w:val="00E03552"/>
    <w:rsid w:val="00E149C9"/>
    <w:rsid w:val="00E22CA9"/>
    <w:rsid w:val="00E32119"/>
    <w:rsid w:val="00E433FF"/>
    <w:rsid w:val="00E75480"/>
    <w:rsid w:val="00E96C2E"/>
    <w:rsid w:val="00EA7A99"/>
    <w:rsid w:val="00ED04CA"/>
    <w:rsid w:val="00ED6C9D"/>
    <w:rsid w:val="00F27E77"/>
    <w:rsid w:val="00F44FFD"/>
    <w:rsid w:val="00F6339A"/>
    <w:rsid w:val="00F6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6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6BE"/>
  </w:style>
  <w:style w:type="paragraph" w:styleId="Footer">
    <w:name w:val="footer"/>
    <w:basedOn w:val="Normal"/>
    <w:link w:val="FooterChar"/>
    <w:uiPriority w:val="99"/>
    <w:unhideWhenUsed/>
    <w:rsid w:val="004D6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6BE"/>
  </w:style>
  <w:style w:type="paragraph" w:styleId="BalloonText">
    <w:name w:val="Balloon Text"/>
    <w:basedOn w:val="Normal"/>
    <w:link w:val="BalloonTextChar"/>
    <w:uiPriority w:val="99"/>
    <w:semiHidden/>
    <w:unhideWhenUsed/>
    <w:rsid w:val="00DD6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D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D63D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D63DD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2545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5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5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56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7E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6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6BE"/>
  </w:style>
  <w:style w:type="paragraph" w:styleId="Footer">
    <w:name w:val="footer"/>
    <w:basedOn w:val="Normal"/>
    <w:link w:val="FooterChar"/>
    <w:uiPriority w:val="99"/>
    <w:unhideWhenUsed/>
    <w:rsid w:val="004D6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6BE"/>
  </w:style>
  <w:style w:type="paragraph" w:styleId="BalloonText">
    <w:name w:val="Balloon Text"/>
    <w:basedOn w:val="Normal"/>
    <w:link w:val="BalloonTextChar"/>
    <w:uiPriority w:val="99"/>
    <w:semiHidden/>
    <w:unhideWhenUsed/>
    <w:rsid w:val="00DD6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D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D63D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D63DD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2545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5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5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56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7E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36F6B-9C8C-4ECC-8CFF-437BFE582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DHHS</cp:lastModifiedBy>
  <cp:revision>2</cp:revision>
  <cp:lastPrinted>2013-07-24T12:32:00Z</cp:lastPrinted>
  <dcterms:created xsi:type="dcterms:W3CDTF">2014-04-02T12:01:00Z</dcterms:created>
  <dcterms:modified xsi:type="dcterms:W3CDTF">2014-04-02T12:01:00Z</dcterms:modified>
</cp:coreProperties>
</file>